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A4" w:rsidRPr="00742C51" w:rsidRDefault="00EE2EA4" w:rsidP="00D25A20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42C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THE </w:t>
      </w:r>
      <w:r w:rsidR="00A71858" w:rsidRPr="00742C5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DELC </w:t>
      </w:r>
      <w:r w:rsidRPr="00742C51">
        <w:rPr>
          <w:rFonts w:asciiTheme="minorHAnsi" w:hAnsiTheme="minorHAnsi" w:cstheme="minorHAnsi"/>
          <w:b/>
          <w:bCs/>
          <w:color w:val="auto"/>
          <w:sz w:val="28"/>
          <w:szCs w:val="28"/>
        </w:rPr>
        <w:t>WRITING STYLE GUIDE</w:t>
      </w:r>
    </w:p>
    <w:p w:rsidR="00A71858" w:rsidRPr="00742C51" w:rsidRDefault="00A71858" w:rsidP="00B64FB8">
      <w:pPr>
        <w:pStyle w:val="Default"/>
        <w:spacing w:after="120"/>
        <w:rPr>
          <w:rFonts w:asciiTheme="minorHAnsi" w:hAnsiTheme="minorHAnsi" w:cstheme="minorHAnsi"/>
          <w:color w:val="auto"/>
        </w:rPr>
      </w:pPr>
    </w:p>
    <w:p w:rsidR="00EE2EA4" w:rsidRPr="00742C51" w:rsidRDefault="00EE2EA4" w:rsidP="00B64FB8">
      <w:pPr>
        <w:pStyle w:val="Default"/>
        <w:spacing w:after="120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>The</w:t>
      </w:r>
      <w:r w:rsidR="00A71858" w:rsidRPr="00742C51">
        <w:rPr>
          <w:rFonts w:asciiTheme="minorHAnsi" w:hAnsiTheme="minorHAnsi" w:cstheme="minorHAnsi"/>
          <w:color w:val="auto"/>
        </w:rPr>
        <w:t xml:space="preserve"> DELC </w:t>
      </w:r>
      <w:r w:rsidRPr="00742C51">
        <w:rPr>
          <w:rFonts w:asciiTheme="minorHAnsi" w:hAnsiTheme="minorHAnsi" w:cstheme="minorHAnsi"/>
          <w:color w:val="auto"/>
        </w:rPr>
        <w:t>Style Guide is based on the MHRA Style Guide (</w:t>
      </w:r>
      <w:hyperlink r:id="rId7" w:history="1">
        <w:r w:rsidR="003A3176" w:rsidRPr="00EF0DBD">
          <w:rPr>
            <w:rStyle w:val="Hyperlink"/>
            <w:rFonts w:asciiTheme="minorHAnsi" w:hAnsiTheme="minorHAnsi" w:cstheme="minorHAnsi"/>
          </w:rPr>
          <w:t>http://www.mhra.org.uk/</w:t>
        </w:r>
      </w:hyperlink>
      <w:r w:rsidR="003A3176">
        <w:rPr>
          <w:rStyle w:val="Hyperlink"/>
          <w:rFonts w:asciiTheme="minorHAnsi" w:hAnsiTheme="minorHAnsi" w:cstheme="minorHAnsi"/>
        </w:rPr>
        <w:t>style</w:t>
      </w:r>
      <w:r w:rsidRPr="00742C51">
        <w:rPr>
          <w:rFonts w:asciiTheme="minorHAnsi" w:hAnsiTheme="minorHAnsi" w:cstheme="minorHAnsi"/>
          <w:color w:val="5B9BD5" w:themeColor="accent1"/>
        </w:rPr>
        <w:t>)</w:t>
      </w:r>
      <w:r w:rsidRPr="00742C51">
        <w:rPr>
          <w:rFonts w:asciiTheme="minorHAnsi" w:hAnsiTheme="minorHAnsi" w:cstheme="minorHAnsi"/>
          <w:color w:val="auto"/>
        </w:rPr>
        <w:t xml:space="preserve">; please note that an alternative system of referencing, such as the MLA, is acceptable, but whichever system you employ, </w:t>
      </w:r>
      <w:r w:rsidRPr="00742C51">
        <w:rPr>
          <w:rFonts w:asciiTheme="minorHAnsi" w:hAnsiTheme="minorHAnsi" w:cstheme="minorHAnsi"/>
          <w:i/>
          <w:iCs/>
          <w:color w:val="auto"/>
        </w:rPr>
        <w:t>please do so consistently</w:t>
      </w:r>
      <w:r w:rsidRPr="00742C51">
        <w:rPr>
          <w:rFonts w:asciiTheme="minorHAnsi" w:hAnsiTheme="minorHAnsi" w:cstheme="minorHAnsi"/>
          <w:color w:val="auto"/>
        </w:rPr>
        <w:t xml:space="preserve">. </w:t>
      </w:r>
    </w:p>
    <w:p w:rsidR="00745399" w:rsidRDefault="00745399" w:rsidP="00B64FB8">
      <w:pPr>
        <w:pStyle w:val="Default"/>
        <w:spacing w:after="120"/>
        <w:rPr>
          <w:rFonts w:asciiTheme="minorHAnsi" w:hAnsiTheme="minorHAnsi" w:cstheme="minorHAnsi"/>
          <w:b/>
          <w:color w:val="auto"/>
        </w:rPr>
      </w:pPr>
    </w:p>
    <w:p w:rsidR="00745399" w:rsidRPr="00745399" w:rsidRDefault="00745399" w:rsidP="00B64FB8">
      <w:pPr>
        <w:pStyle w:val="Default"/>
        <w:spacing w:after="120"/>
        <w:rPr>
          <w:rFonts w:asciiTheme="minorHAnsi" w:hAnsiTheme="minorHAnsi" w:cstheme="minorHAnsi"/>
          <w:b/>
          <w:color w:val="auto"/>
        </w:rPr>
      </w:pPr>
      <w:r w:rsidRPr="00745399">
        <w:rPr>
          <w:rFonts w:asciiTheme="minorHAnsi" w:hAnsiTheme="minorHAnsi" w:cstheme="minorHAnsi"/>
          <w:b/>
          <w:color w:val="auto"/>
        </w:rPr>
        <w:t xml:space="preserve">WORD COUNT </w:t>
      </w:r>
    </w:p>
    <w:p w:rsidR="000B69D3" w:rsidRDefault="00745399" w:rsidP="00B64FB8">
      <w:pPr>
        <w:pStyle w:val="Default"/>
        <w:spacing w:after="120"/>
        <w:rPr>
          <w:rFonts w:asciiTheme="minorHAnsi" w:hAnsiTheme="minorHAnsi" w:cstheme="minorHAnsi"/>
          <w:color w:val="auto"/>
        </w:rPr>
      </w:pPr>
      <w:r w:rsidRPr="00745399">
        <w:rPr>
          <w:rFonts w:asciiTheme="minorHAnsi" w:hAnsiTheme="minorHAnsi" w:cstheme="minorHAnsi"/>
          <w:color w:val="auto"/>
        </w:rPr>
        <w:t xml:space="preserve">For coursework essays, 10% above the word limit is acceptable but if students breach this a </w:t>
      </w:r>
      <w:r w:rsidR="003F0479">
        <w:rPr>
          <w:rFonts w:asciiTheme="minorHAnsi" w:hAnsiTheme="minorHAnsi" w:cstheme="minorHAnsi"/>
          <w:color w:val="auto"/>
        </w:rPr>
        <w:t>ten-mark</w:t>
      </w:r>
      <w:r w:rsidR="000B69D3">
        <w:rPr>
          <w:rFonts w:asciiTheme="minorHAnsi" w:hAnsiTheme="minorHAnsi" w:cstheme="minorHAnsi"/>
          <w:color w:val="auto"/>
        </w:rPr>
        <w:t xml:space="preserve"> penalty will be applied. </w:t>
      </w:r>
    </w:p>
    <w:p w:rsidR="00745399" w:rsidRDefault="00745399" w:rsidP="00B64FB8">
      <w:pPr>
        <w:pStyle w:val="Default"/>
        <w:spacing w:after="120"/>
        <w:rPr>
          <w:rFonts w:asciiTheme="minorHAnsi" w:hAnsiTheme="minorHAnsi" w:cstheme="minorHAnsi"/>
          <w:color w:val="auto"/>
        </w:rPr>
      </w:pPr>
      <w:r w:rsidRPr="00745399">
        <w:rPr>
          <w:rFonts w:asciiTheme="minorHAnsi" w:hAnsiTheme="minorHAnsi" w:cstheme="minorHAnsi"/>
          <w:color w:val="auto"/>
        </w:rPr>
        <w:t>The word count is to include quotations, but not footnotes, bibliography and appendices.  </w:t>
      </w:r>
    </w:p>
    <w:p w:rsidR="00745399" w:rsidRDefault="00745399" w:rsidP="00B64FB8">
      <w:pPr>
        <w:pStyle w:val="Default"/>
        <w:spacing w:after="1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The word count should be given at the end of the essay.</w:t>
      </w:r>
    </w:p>
    <w:p w:rsidR="00745399" w:rsidRPr="00742C51" w:rsidRDefault="00745399" w:rsidP="00B64FB8">
      <w:pPr>
        <w:pStyle w:val="Default"/>
        <w:spacing w:after="120"/>
        <w:rPr>
          <w:rFonts w:asciiTheme="minorHAnsi" w:hAnsiTheme="minorHAnsi" w:cstheme="minorHAnsi"/>
          <w:color w:val="auto"/>
        </w:rPr>
      </w:pPr>
    </w:p>
    <w:p w:rsidR="00EE2EA4" w:rsidRPr="00742C51" w:rsidRDefault="00EE2EA4" w:rsidP="00B64FB8">
      <w:pPr>
        <w:pStyle w:val="Default"/>
        <w:spacing w:after="120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b/>
          <w:bCs/>
          <w:color w:val="auto"/>
        </w:rPr>
        <w:t xml:space="preserve">TYPEFACE AND LAYOUT </w:t>
      </w:r>
    </w:p>
    <w:p w:rsidR="00EE2EA4" w:rsidRPr="00742C51" w:rsidRDefault="00EE2EA4" w:rsidP="00B64FB8">
      <w:pPr>
        <w:pStyle w:val="Default"/>
        <w:numPr>
          <w:ilvl w:val="0"/>
          <w:numId w:val="1"/>
        </w:numPr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 xml:space="preserve">Please use a plain 12-point regular typeface (also known as </w:t>
      </w:r>
      <w:r w:rsidR="00A71858" w:rsidRPr="00742C51">
        <w:rPr>
          <w:rFonts w:asciiTheme="minorHAnsi" w:hAnsiTheme="minorHAnsi" w:cstheme="minorHAnsi"/>
          <w:color w:val="auto"/>
        </w:rPr>
        <w:t>‘</w:t>
      </w:r>
      <w:r w:rsidRPr="00742C51">
        <w:rPr>
          <w:rFonts w:asciiTheme="minorHAnsi" w:hAnsiTheme="minorHAnsi" w:cstheme="minorHAnsi"/>
          <w:color w:val="auto"/>
        </w:rPr>
        <w:t>font</w:t>
      </w:r>
      <w:r w:rsidR="00A71858" w:rsidRPr="00742C51">
        <w:rPr>
          <w:rFonts w:asciiTheme="minorHAnsi" w:hAnsiTheme="minorHAnsi" w:cstheme="minorHAnsi"/>
          <w:color w:val="auto"/>
        </w:rPr>
        <w:t>’</w:t>
      </w:r>
      <w:r w:rsidRPr="00742C51">
        <w:rPr>
          <w:rFonts w:asciiTheme="minorHAnsi" w:hAnsiTheme="minorHAnsi" w:cstheme="minorHAnsi"/>
          <w:color w:val="auto"/>
        </w:rPr>
        <w:t>) for all submitted work (this is</w:t>
      </w:r>
      <w:r w:rsidR="00D5569D" w:rsidRPr="00742C51">
        <w:rPr>
          <w:rFonts w:asciiTheme="minorHAnsi" w:hAnsiTheme="minorHAnsi" w:cstheme="minorHAnsi"/>
          <w:color w:val="auto"/>
        </w:rPr>
        <w:t xml:space="preserve"> Arial</w:t>
      </w:r>
      <w:r w:rsidRPr="00742C51">
        <w:rPr>
          <w:rFonts w:asciiTheme="minorHAnsi" w:hAnsiTheme="minorHAnsi" w:cstheme="minorHAnsi"/>
          <w:color w:val="auto"/>
        </w:rPr>
        <w:t xml:space="preserve">, regular 12pt.). </w:t>
      </w:r>
    </w:p>
    <w:p w:rsidR="00EE2EA4" w:rsidRPr="00742C51" w:rsidRDefault="00EE2EA4" w:rsidP="00B64FB8">
      <w:pPr>
        <w:pStyle w:val="Default"/>
        <w:numPr>
          <w:ilvl w:val="0"/>
          <w:numId w:val="1"/>
        </w:numPr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 xml:space="preserve">Employ either 1.5 or double spacing; this leaves room for marking. </w:t>
      </w:r>
    </w:p>
    <w:p w:rsidR="00EE2EA4" w:rsidRPr="00742C51" w:rsidRDefault="00EE2EA4" w:rsidP="00B64FB8">
      <w:pPr>
        <w:pStyle w:val="Default"/>
        <w:numPr>
          <w:ilvl w:val="0"/>
          <w:numId w:val="1"/>
        </w:numPr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 xml:space="preserve">Lay out your work with a straight left-hand margin and ragged right-hand edge (i.e. left-justified, as is this document). </w:t>
      </w:r>
    </w:p>
    <w:p w:rsidR="00EE2EA4" w:rsidRPr="00742C51" w:rsidRDefault="00EE2EA4" w:rsidP="00B64FB8">
      <w:pPr>
        <w:pStyle w:val="Default"/>
        <w:numPr>
          <w:ilvl w:val="0"/>
          <w:numId w:val="1"/>
        </w:numPr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 xml:space="preserve">Make paragraphing clear, either through indentation of the first line of a paragraph, or through leaving a double space between paragraphs. </w:t>
      </w:r>
    </w:p>
    <w:p w:rsidR="00EE2EA4" w:rsidRPr="00742C51" w:rsidRDefault="00EE2EA4" w:rsidP="00B64FB8">
      <w:pPr>
        <w:pStyle w:val="Default"/>
        <w:numPr>
          <w:ilvl w:val="0"/>
          <w:numId w:val="1"/>
        </w:numPr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 xml:space="preserve">Ensure that all pages are numbered consecutively. </w:t>
      </w:r>
    </w:p>
    <w:p w:rsidR="00EE2EA4" w:rsidRPr="00742C51" w:rsidRDefault="00EE2EA4" w:rsidP="00B64FB8">
      <w:pPr>
        <w:pStyle w:val="Default"/>
        <w:spacing w:after="120"/>
        <w:rPr>
          <w:rFonts w:asciiTheme="minorHAnsi" w:hAnsiTheme="minorHAnsi" w:cstheme="minorHAnsi"/>
          <w:color w:val="auto"/>
        </w:rPr>
      </w:pPr>
    </w:p>
    <w:p w:rsidR="00EE2EA4" w:rsidRPr="00742C51" w:rsidRDefault="00EE2EA4" w:rsidP="00B64FB8">
      <w:pPr>
        <w:pStyle w:val="Default"/>
        <w:spacing w:after="120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b/>
          <w:bCs/>
          <w:color w:val="auto"/>
        </w:rPr>
        <w:t xml:space="preserve">QUOTATIONS AND QUOTATION MARKS </w:t>
      </w:r>
    </w:p>
    <w:p w:rsidR="00EE2EA4" w:rsidRPr="00742C51" w:rsidRDefault="00EE2EA4" w:rsidP="00B64FB8">
      <w:pPr>
        <w:pStyle w:val="Default"/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 xml:space="preserve">The language and spelling of quotations is always that of the book or edition referred to. Thus, if you are studying a work written in French, then quote </w:t>
      </w:r>
      <w:r w:rsidR="004A01CE" w:rsidRPr="00742C51">
        <w:rPr>
          <w:rFonts w:asciiTheme="minorHAnsi" w:hAnsiTheme="minorHAnsi" w:cstheme="minorHAnsi"/>
          <w:color w:val="auto"/>
        </w:rPr>
        <w:t xml:space="preserve">in </w:t>
      </w:r>
      <w:r w:rsidRPr="00742C51">
        <w:rPr>
          <w:rFonts w:asciiTheme="minorHAnsi" w:hAnsiTheme="minorHAnsi" w:cstheme="minorHAnsi"/>
          <w:color w:val="auto"/>
        </w:rPr>
        <w:t xml:space="preserve">the French, using that edition. Similarly, if you are studying a text in English, then please quote in the English. </w:t>
      </w:r>
    </w:p>
    <w:p w:rsidR="004A01CE" w:rsidRPr="00742C51" w:rsidRDefault="00EE2EA4" w:rsidP="00B64FB8">
      <w:pPr>
        <w:pStyle w:val="Default"/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 xml:space="preserve">Short quotations (up to forty words or no more than two lines of verse) should be enclosed in single quotation marks and </w:t>
      </w:r>
      <w:r w:rsidR="00D5569D" w:rsidRPr="00742C51">
        <w:rPr>
          <w:rFonts w:asciiTheme="minorHAnsi" w:hAnsiTheme="minorHAnsi" w:cstheme="minorHAnsi"/>
          <w:color w:val="auto"/>
        </w:rPr>
        <w:t>incorporated into</w:t>
      </w:r>
      <w:r w:rsidRPr="00742C51">
        <w:rPr>
          <w:rFonts w:asciiTheme="minorHAnsi" w:hAnsiTheme="minorHAnsi" w:cstheme="minorHAnsi"/>
          <w:color w:val="auto"/>
        </w:rPr>
        <w:t xml:space="preserve"> the main text. If a verse quotation includes a line division, this should be marked with a spaced upright stroke ( | ). </w:t>
      </w:r>
    </w:p>
    <w:p w:rsidR="00EE2EA4" w:rsidRPr="00742C51" w:rsidRDefault="00EE2EA4" w:rsidP="00B64FB8">
      <w:pPr>
        <w:pStyle w:val="Default"/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 xml:space="preserve">Long quotations should be </w:t>
      </w:r>
      <w:r w:rsidR="00D5569D" w:rsidRPr="00742C51">
        <w:rPr>
          <w:rFonts w:asciiTheme="minorHAnsi" w:hAnsiTheme="minorHAnsi" w:cstheme="minorHAnsi"/>
          <w:color w:val="auto"/>
          <w:lang w:val="en-US"/>
        </w:rPr>
        <w:t>separated from the main text by the space of one line of text before and after the quotation</w:t>
      </w:r>
      <w:r w:rsidR="004A01CE" w:rsidRPr="00742C51">
        <w:rPr>
          <w:rFonts w:asciiTheme="minorHAnsi" w:hAnsiTheme="minorHAnsi" w:cstheme="minorHAnsi"/>
          <w:color w:val="auto"/>
        </w:rPr>
        <w:t xml:space="preserve">, and quotations should be indented. </w:t>
      </w:r>
      <w:r w:rsidR="00682EC5" w:rsidRPr="00742C51">
        <w:rPr>
          <w:rFonts w:asciiTheme="minorHAnsi" w:hAnsiTheme="minorHAnsi" w:cstheme="minorHAnsi"/>
          <w:color w:val="auto"/>
        </w:rPr>
        <w:t xml:space="preserve">They should be single-spaced and </w:t>
      </w:r>
      <w:r w:rsidRPr="00742C51">
        <w:rPr>
          <w:rFonts w:asciiTheme="minorHAnsi" w:hAnsiTheme="minorHAnsi" w:cstheme="minorHAnsi"/>
          <w:color w:val="auto"/>
        </w:rPr>
        <w:t xml:space="preserve">should not be enclosed within quotation marks. </w:t>
      </w:r>
    </w:p>
    <w:p w:rsidR="00EE2EA4" w:rsidRPr="00742C51" w:rsidRDefault="00EE2EA4" w:rsidP="00B64FB8">
      <w:pPr>
        <w:pStyle w:val="Default"/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 xml:space="preserve">For a quotation within a quotation, double quotation marks should be used. </w:t>
      </w:r>
    </w:p>
    <w:p w:rsidR="00EE2EA4" w:rsidRPr="00742C51" w:rsidRDefault="00EE2EA4" w:rsidP="00B64FB8">
      <w:pPr>
        <w:pStyle w:val="Default"/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 xml:space="preserve">In quotations, points indicating an ellipsis (i.e. the omission of a portion of the text) should be enclosed within square brackets: </w:t>
      </w:r>
      <w:r w:rsidR="004A01CE" w:rsidRPr="00742C51">
        <w:rPr>
          <w:rFonts w:asciiTheme="minorHAnsi" w:hAnsiTheme="minorHAnsi" w:cstheme="minorHAnsi"/>
          <w:color w:val="auto"/>
        </w:rPr>
        <w:t>‘</w:t>
      </w:r>
      <w:r w:rsidRPr="00742C51">
        <w:rPr>
          <w:rFonts w:asciiTheme="minorHAnsi" w:hAnsiTheme="minorHAnsi" w:cstheme="minorHAnsi"/>
          <w:color w:val="auto"/>
        </w:rPr>
        <w:t>Her enquiries […] were not very favourably answered.</w:t>
      </w:r>
      <w:r w:rsidR="004A01CE" w:rsidRPr="00742C51">
        <w:rPr>
          <w:rFonts w:asciiTheme="minorHAnsi" w:hAnsiTheme="minorHAnsi" w:cstheme="minorHAnsi"/>
          <w:color w:val="auto"/>
        </w:rPr>
        <w:t>’</w:t>
      </w:r>
      <w:r w:rsidRPr="00742C51">
        <w:rPr>
          <w:rFonts w:asciiTheme="minorHAnsi" w:hAnsiTheme="minorHAnsi" w:cstheme="minorHAnsi"/>
          <w:color w:val="auto"/>
        </w:rPr>
        <w:t xml:space="preserve"> </w:t>
      </w:r>
    </w:p>
    <w:p w:rsidR="00EE2EA4" w:rsidRPr="00742C51" w:rsidRDefault="00EE2EA4" w:rsidP="00B64FB8">
      <w:pPr>
        <w:pStyle w:val="Default"/>
        <w:spacing w:after="120"/>
        <w:rPr>
          <w:rFonts w:asciiTheme="minorHAnsi" w:hAnsiTheme="minorHAnsi" w:cstheme="minorHAnsi"/>
          <w:color w:val="auto"/>
        </w:rPr>
      </w:pPr>
    </w:p>
    <w:p w:rsidR="004E6243" w:rsidRPr="00742C51" w:rsidRDefault="00EE2EA4" w:rsidP="004E6243">
      <w:pPr>
        <w:pStyle w:val="Default"/>
        <w:spacing w:after="120"/>
        <w:rPr>
          <w:rFonts w:asciiTheme="minorHAnsi" w:hAnsiTheme="minorHAnsi" w:cstheme="minorHAnsi"/>
          <w:b/>
          <w:bCs/>
          <w:color w:val="auto"/>
        </w:rPr>
      </w:pPr>
      <w:r w:rsidRPr="00742C51">
        <w:rPr>
          <w:rFonts w:asciiTheme="minorHAnsi" w:hAnsiTheme="minorHAnsi" w:cstheme="minorHAnsi"/>
          <w:b/>
          <w:bCs/>
          <w:color w:val="auto"/>
        </w:rPr>
        <w:t xml:space="preserve">NUMBERS </w:t>
      </w:r>
    </w:p>
    <w:p w:rsidR="00D5569D" w:rsidRPr="00742C51" w:rsidRDefault="00D5569D" w:rsidP="00D5569D">
      <w:pPr>
        <w:pStyle w:val="Default"/>
        <w:numPr>
          <w:ilvl w:val="0"/>
          <w:numId w:val="7"/>
        </w:numPr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>Dates should be written 18 August 2007 and decades as the 1880s or 1990s (without an apostrophe).</w:t>
      </w:r>
    </w:p>
    <w:p w:rsidR="00D5569D" w:rsidRPr="00742C51" w:rsidRDefault="00D5569D" w:rsidP="00D5569D">
      <w:pPr>
        <w:pStyle w:val="Default"/>
        <w:numPr>
          <w:ilvl w:val="0"/>
          <w:numId w:val="7"/>
        </w:numPr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>Inclusive numbers should include the fewest possible digits (esp. relevant for referencing purposes): 32-3, 132-48, 200-5, except in ‘teen’ numbers, where 1 is repeated (1914-18); dates should be elided to the last two digits: 1997-98.</w:t>
      </w:r>
    </w:p>
    <w:p w:rsidR="00D5569D" w:rsidRPr="00742C51" w:rsidRDefault="00D5569D" w:rsidP="00D5569D">
      <w:pPr>
        <w:pStyle w:val="Default"/>
        <w:spacing w:after="120"/>
        <w:ind w:left="357"/>
        <w:rPr>
          <w:rFonts w:asciiTheme="minorHAnsi" w:hAnsiTheme="minorHAnsi" w:cstheme="minorHAnsi"/>
          <w:color w:val="auto"/>
        </w:rPr>
      </w:pPr>
    </w:p>
    <w:p w:rsidR="00EE2EA4" w:rsidRPr="00742C51" w:rsidRDefault="00EE2EA4" w:rsidP="00B64FB8">
      <w:pPr>
        <w:pStyle w:val="Default"/>
        <w:spacing w:after="120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b/>
          <w:bCs/>
          <w:color w:val="auto"/>
        </w:rPr>
        <w:t xml:space="preserve">FOOTNOTES AND ENDNOTES </w:t>
      </w:r>
    </w:p>
    <w:p w:rsidR="00682EC5" w:rsidRPr="00742C51" w:rsidRDefault="00682EC5" w:rsidP="00682EC5">
      <w:pPr>
        <w:pStyle w:val="Default"/>
        <w:numPr>
          <w:ilvl w:val="0"/>
          <w:numId w:val="15"/>
        </w:numPr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 xml:space="preserve">Footnotes should be kept to a minimum. They should not include too much expository material (which is often better incorporated into the text). </w:t>
      </w:r>
    </w:p>
    <w:p w:rsidR="00EE2EA4" w:rsidRPr="00742C51" w:rsidRDefault="00EE2EA4" w:rsidP="00682EC5">
      <w:pPr>
        <w:pStyle w:val="Default"/>
        <w:numPr>
          <w:ilvl w:val="0"/>
          <w:numId w:val="15"/>
        </w:numPr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 xml:space="preserve">A reference number </w:t>
      </w:r>
      <w:r w:rsidR="004A01CE" w:rsidRPr="00742C51">
        <w:rPr>
          <w:rFonts w:asciiTheme="minorHAnsi" w:hAnsiTheme="minorHAnsi" w:cstheme="minorHAnsi"/>
          <w:color w:val="auto"/>
        </w:rPr>
        <w:t xml:space="preserve">to a footnote or endnote </w:t>
      </w:r>
      <w:r w:rsidRPr="00742C51">
        <w:rPr>
          <w:rFonts w:asciiTheme="minorHAnsi" w:hAnsiTheme="minorHAnsi" w:cstheme="minorHAnsi"/>
          <w:color w:val="auto"/>
        </w:rPr>
        <w:t xml:space="preserve">should </w:t>
      </w:r>
      <w:r w:rsidR="004A01CE" w:rsidRPr="00742C51">
        <w:rPr>
          <w:rFonts w:asciiTheme="minorHAnsi" w:hAnsiTheme="minorHAnsi" w:cstheme="minorHAnsi"/>
          <w:color w:val="auto"/>
        </w:rPr>
        <w:t xml:space="preserve">be </w:t>
      </w:r>
      <w:r w:rsidRPr="00742C51">
        <w:rPr>
          <w:rFonts w:asciiTheme="minorHAnsi" w:hAnsiTheme="minorHAnsi" w:cstheme="minorHAnsi"/>
          <w:color w:val="auto"/>
        </w:rPr>
        <w:t>at the end of a sentence if possible</w:t>
      </w:r>
      <w:r w:rsidR="00D5569D" w:rsidRPr="00742C51">
        <w:rPr>
          <w:rFonts w:asciiTheme="minorHAnsi" w:hAnsiTheme="minorHAnsi" w:cstheme="minorHAnsi"/>
          <w:color w:val="auto"/>
        </w:rPr>
        <w:t>, following the full-stop</w:t>
      </w:r>
      <w:r w:rsidRPr="00742C51">
        <w:rPr>
          <w:rFonts w:asciiTheme="minorHAnsi" w:hAnsiTheme="minorHAnsi" w:cstheme="minorHAnsi"/>
          <w:color w:val="auto"/>
        </w:rPr>
        <w:t xml:space="preserve">. </w:t>
      </w:r>
    </w:p>
    <w:p w:rsidR="00EE2EA4" w:rsidRPr="00742C51" w:rsidRDefault="00EE2EA4" w:rsidP="00B64FB8">
      <w:pPr>
        <w:pStyle w:val="Default"/>
        <w:numPr>
          <w:ilvl w:val="0"/>
          <w:numId w:val="8"/>
        </w:numPr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>All f</w:t>
      </w:r>
      <w:r w:rsidR="00682EC5" w:rsidRPr="00742C51">
        <w:rPr>
          <w:rFonts w:asciiTheme="minorHAnsi" w:hAnsiTheme="minorHAnsi" w:cstheme="minorHAnsi"/>
          <w:color w:val="auto"/>
        </w:rPr>
        <w:t>ootnotes and endnotes should end with a full stop</w:t>
      </w:r>
      <w:r w:rsidRPr="00742C51">
        <w:rPr>
          <w:rFonts w:asciiTheme="minorHAnsi" w:hAnsiTheme="minorHAnsi" w:cstheme="minorHAnsi"/>
          <w:color w:val="auto"/>
        </w:rPr>
        <w:t xml:space="preserve">. </w:t>
      </w:r>
    </w:p>
    <w:p w:rsidR="00EE2EA4" w:rsidRPr="00742C51" w:rsidRDefault="00EE2EA4" w:rsidP="00B64FB8">
      <w:pPr>
        <w:pStyle w:val="Default"/>
        <w:spacing w:after="120"/>
        <w:rPr>
          <w:rFonts w:asciiTheme="minorHAnsi" w:hAnsiTheme="minorHAnsi" w:cstheme="minorHAnsi"/>
          <w:color w:val="auto"/>
        </w:rPr>
      </w:pPr>
    </w:p>
    <w:p w:rsidR="00EE2EA4" w:rsidRPr="00742C51" w:rsidRDefault="00EE2EA4" w:rsidP="00B64FB8">
      <w:pPr>
        <w:pStyle w:val="Default"/>
        <w:spacing w:after="120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b/>
          <w:bCs/>
          <w:color w:val="auto"/>
        </w:rPr>
        <w:t xml:space="preserve">FIRST REFERENCES (see beneath for later references) </w:t>
      </w:r>
    </w:p>
    <w:p w:rsidR="00EE2EA4" w:rsidRPr="00742C51" w:rsidRDefault="00EE2EA4" w:rsidP="00B64FB8">
      <w:pPr>
        <w:pStyle w:val="Default"/>
        <w:spacing w:after="120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 xml:space="preserve">For first references in footnotes or endnotes, follow the arrangement of these examples: </w:t>
      </w:r>
    </w:p>
    <w:p w:rsidR="00EE2EA4" w:rsidRPr="00742C51" w:rsidRDefault="00EE2EA4" w:rsidP="00B64FB8">
      <w:pPr>
        <w:pStyle w:val="Default"/>
        <w:spacing w:after="120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b/>
          <w:bCs/>
          <w:color w:val="auto"/>
        </w:rPr>
        <w:t xml:space="preserve">BOOKS </w:t>
      </w:r>
    </w:p>
    <w:p w:rsidR="00EE2EA4" w:rsidRPr="00742C51" w:rsidRDefault="00EE2EA4" w:rsidP="00B64FB8">
      <w:pPr>
        <w:pStyle w:val="Default"/>
        <w:numPr>
          <w:ilvl w:val="0"/>
          <w:numId w:val="9"/>
        </w:numPr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 xml:space="preserve">Tom McArthur, </w:t>
      </w:r>
      <w:r w:rsidRPr="00742C51">
        <w:rPr>
          <w:rFonts w:asciiTheme="minorHAnsi" w:hAnsiTheme="minorHAnsi" w:cstheme="minorHAnsi"/>
          <w:i/>
          <w:iCs/>
          <w:color w:val="auto"/>
        </w:rPr>
        <w:t xml:space="preserve">Worlds of Reference: Lexicography, Learning and Language from the Clay Tablet to the Computer </w:t>
      </w:r>
      <w:r w:rsidRPr="00742C51">
        <w:rPr>
          <w:rFonts w:asciiTheme="minorHAnsi" w:hAnsiTheme="minorHAnsi" w:cstheme="minorHAnsi"/>
          <w:color w:val="auto"/>
        </w:rPr>
        <w:t xml:space="preserve">(Cambridge: Cambridge University Press, 1986), p. 59. </w:t>
      </w:r>
    </w:p>
    <w:p w:rsidR="00EE2EA4" w:rsidRPr="00742C51" w:rsidRDefault="00EE2EA4" w:rsidP="00B64FB8">
      <w:pPr>
        <w:pStyle w:val="Default"/>
        <w:numPr>
          <w:ilvl w:val="0"/>
          <w:numId w:val="9"/>
        </w:numPr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 xml:space="preserve">Jean Starobinski, </w:t>
      </w:r>
      <w:r w:rsidRPr="00742C51">
        <w:rPr>
          <w:rFonts w:asciiTheme="minorHAnsi" w:hAnsiTheme="minorHAnsi" w:cstheme="minorHAnsi"/>
          <w:i/>
          <w:iCs/>
          <w:color w:val="auto"/>
        </w:rPr>
        <w:t>Montaigne in Motion</w:t>
      </w:r>
      <w:r w:rsidRPr="00742C51">
        <w:rPr>
          <w:rFonts w:asciiTheme="minorHAnsi" w:hAnsiTheme="minorHAnsi" w:cstheme="minorHAnsi"/>
          <w:color w:val="auto"/>
        </w:rPr>
        <w:t xml:space="preserve">, trans. by Arthur Goldhammer (Chicago: University of Chicago Press, 1986), p. 174. </w:t>
      </w:r>
    </w:p>
    <w:p w:rsidR="00EE2EA4" w:rsidRPr="00742C51" w:rsidRDefault="00EE2EA4" w:rsidP="00B64FB8">
      <w:pPr>
        <w:pStyle w:val="Default"/>
        <w:numPr>
          <w:ilvl w:val="0"/>
          <w:numId w:val="9"/>
        </w:numPr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i/>
          <w:iCs/>
          <w:color w:val="auto"/>
        </w:rPr>
        <w:t>Dictionary of the Middle Ages</w:t>
      </w:r>
      <w:r w:rsidRPr="00742C51">
        <w:rPr>
          <w:rFonts w:asciiTheme="minorHAnsi" w:hAnsiTheme="minorHAnsi" w:cstheme="minorHAnsi"/>
          <w:color w:val="auto"/>
        </w:rPr>
        <w:t xml:space="preserve">, ed. by Joseph R. Strayer and others, 13 vols (New York: Scribner, 1982–89), vi (1985), 26. </w:t>
      </w:r>
    </w:p>
    <w:p w:rsidR="00EE2EA4" w:rsidRPr="00742C51" w:rsidRDefault="00EE2EA4" w:rsidP="00B64FB8">
      <w:pPr>
        <w:pStyle w:val="Default"/>
        <w:numPr>
          <w:ilvl w:val="0"/>
          <w:numId w:val="9"/>
        </w:numPr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 xml:space="preserve">Carlos Fuentes, </w:t>
      </w:r>
      <w:r w:rsidRPr="00742C51">
        <w:rPr>
          <w:rFonts w:asciiTheme="minorHAnsi" w:hAnsiTheme="minorHAnsi" w:cstheme="minorHAnsi"/>
          <w:i/>
          <w:iCs/>
          <w:color w:val="auto"/>
        </w:rPr>
        <w:t>Aura</w:t>
      </w:r>
      <w:r w:rsidRPr="00742C51">
        <w:rPr>
          <w:rFonts w:asciiTheme="minorHAnsi" w:hAnsiTheme="minorHAnsi" w:cstheme="minorHAnsi"/>
          <w:color w:val="auto"/>
        </w:rPr>
        <w:t xml:space="preserve">, ed. by Peter Standish, </w:t>
      </w:r>
      <w:r w:rsidRPr="00742C51">
        <w:rPr>
          <w:rFonts w:asciiTheme="minorHAnsi" w:hAnsiTheme="minorHAnsi" w:cstheme="minorHAnsi"/>
          <w:i/>
          <w:iCs/>
          <w:color w:val="auto"/>
        </w:rPr>
        <w:t xml:space="preserve">Durham Modern Language Series: Hispanic Texts, 1 </w:t>
      </w:r>
      <w:r w:rsidRPr="00742C51">
        <w:rPr>
          <w:rFonts w:asciiTheme="minorHAnsi" w:hAnsiTheme="minorHAnsi" w:cstheme="minorHAnsi"/>
          <w:color w:val="auto"/>
        </w:rPr>
        <w:t xml:space="preserve">(Durham: University of Durham, 1986), pp. 12–16 (p. 14). </w:t>
      </w:r>
    </w:p>
    <w:p w:rsidR="00EE2EA4" w:rsidRPr="00742C51" w:rsidRDefault="00EE2EA4" w:rsidP="00C171BA">
      <w:pPr>
        <w:pStyle w:val="Default"/>
        <w:spacing w:after="120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b/>
          <w:bCs/>
          <w:color w:val="auto"/>
        </w:rPr>
        <w:t xml:space="preserve">CHAPTERS OR ARTICLES IN BOOKS </w:t>
      </w:r>
    </w:p>
    <w:p w:rsidR="00EE2EA4" w:rsidRPr="00742C51" w:rsidRDefault="00EE2EA4" w:rsidP="00C171BA">
      <w:pPr>
        <w:pStyle w:val="Default"/>
        <w:numPr>
          <w:ilvl w:val="0"/>
          <w:numId w:val="16"/>
        </w:numPr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 xml:space="preserve">Martin Elsky, </w:t>
      </w:r>
      <w:r w:rsidR="00A71858" w:rsidRPr="00742C51">
        <w:rPr>
          <w:rFonts w:asciiTheme="minorHAnsi" w:hAnsiTheme="minorHAnsi" w:cstheme="minorHAnsi"/>
          <w:color w:val="auto"/>
        </w:rPr>
        <w:t>‘</w:t>
      </w:r>
      <w:r w:rsidRPr="00742C51">
        <w:rPr>
          <w:rFonts w:asciiTheme="minorHAnsi" w:hAnsiTheme="minorHAnsi" w:cstheme="minorHAnsi"/>
          <w:color w:val="auto"/>
        </w:rPr>
        <w:t>Words, Things, and Names: Jonson</w:t>
      </w:r>
      <w:r w:rsidR="00A71858" w:rsidRPr="00742C51">
        <w:rPr>
          <w:rFonts w:asciiTheme="minorHAnsi" w:hAnsiTheme="minorHAnsi" w:cstheme="minorHAnsi"/>
          <w:color w:val="auto"/>
        </w:rPr>
        <w:t>’</w:t>
      </w:r>
      <w:r w:rsidRPr="00742C51">
        <w:rPr>
          <w:rFonts w:asciiTheme="minorHAnsi" w:hAnsiTheme="minorHAnsi" w:cstheme="minorHAnsi"/>
          <w:color w:val="auto"/>
        </w:rPr>
        <w:t>s Poetry and Philosophical Grammar</w:t>
      </w:r>
      <w:r w:rsidR="00A71858" w:rsidRPr="00742C51">
        <w:rPr>
          <w:rFonts w:asciiTheme="minorHAnsi" w:hAnsiTheme="minorHAnsi" w:cstheme="minorHAnsi"/>
          <w:color w:val="auto"/>
        </w:rPr>
        <w:t>’</w:t>
      </w:r>
      <w:r w:rsidRPr="00742C51">
        <w:rPr>
          <w:rFonts w:asciiTheme="minorHAnsi" w:hAnsiTheme="minorHAnsi" w:cstheme="minorHAnsi"/>
          <w:color w:val="auto"/>
        </w:rPr>
        <w:t xml:space="preserve">, in </w:t>
      </w:r>
      <w:r w:rsidRPr="00742C51">
        <w:rPr>
          <w:rFonts w:asciiTheme="minorHAnsi" w:hAnsiTheme="minorHAnsi" w:cstheme="minorHAnsi"/>
          <w:i/>
          <w:iCs/>
          <w:color w:val="auto"/>
        </w:rPr>
        <w:t>Classic and Cavalier: Essays on Jonson and the Sons of Ben</w:t>
      </w:r>
      <w:r w:rsidRPr="00742C51">
        <w:rPr>
          <w:rFonts w:asciiTheme="minorHAnsi" w:hAnsiTheme="minorHAnsi" w:cstheme="minorHAnsi"/>
          <w:color w:val="auto"/>
        </w:rPr>
        <w:t xml:space="preserve">, ed. by Claude J. Summers and Ted-Larry Pebworth (Pittsburgh: University of Pittsburgh Press, 1982), pp. 31–55 (p. 41). </w:t>
      </w:r>
    </w:p>
    <w:p w:rsidR="00EE2EA4" w:rsidRPr="00742C51" w:rsidRDefault="00EE2EA4" w:rsidP="00C171BA">
      <w:pPr>
        <w:pStyle w:val="Default"/>
        <w:spacing w:after="120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b/>
          <w:bCs/>
          <w:color w:val="auto"/>
        </w:rPr>
        <w:t xml:space="preserve">ARTICLES IN JOURNALS </w:t>
      </w:r>
    </w:p>
    <w:p w:rsidR="00EE2EA4" w:rsidRPr="00742C51" w:rsidRDefault="00EE2EA4" w:rsidP="00C171BA">
      <w:pPr>
        <w:pStyle w:val="Default"/>
        <w:numPr>
          <w:ilvl w:val="0"/>
          <w:numId w:val="17"/>
        </w:numPr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 xml:space="preserve">Richard Hillyer, </w:t>
      </w:r>
      <w:r w:rsidR="00A71858" w:rsidRPr="00742C51">
        <w:rPr>
          <w:rFonts w:asciiTheme="minorHAnsi" w:hAnsiTheme="minorHAnsi" w:cstheme="minorHAnsi"/>
          <w:color w:val="auto"/>
        </w:rPr>
        <w:t>‘</w:t>
      </w:r>
      <w:r w:rsidRPr="00742C51">
        <w:rPr>
          <w:rFonts w:asciiTheme="minorHAnsi" w:hAnsiTheme="minorHAnsi" w:cstheme="minorHAnsi"/>
          <w:color w:val="auto"/>
        </w:rPr>
        <w:t>In More than Name Only: Jonson</w:t>
      </w:r>
      <w:r w:rsidR="00A71858" w:rsidRPr="00742C51">
        <w:rPr>
          <w:rFonts w:asciiTheme="minorHAnsi" w:hAnsiTheme="minorHAnsi" w:cstheme="minorHAnsi"/>
          <w:color w:val="auto"/>
        </w:rPr>
        <w:t>’</w:t>
      </w:r>
      <w:r w:rsidRPr="00742C51">
        <w:rPr>
          <w:rFonts w:asciiTheme="minorHAnsi" w:hAnsiTheme="minorHAnsi" w:cstheme="minorHAnsi"/>
          <w:color w:val="auto"/>
        </w:rPr>
        <w:t>s “To Sir Horace, Vere”</w:t>
      </w:r>
      <w:r w:rsidR="00D1239D" w:rsidRPr="00742C51">
        <w:rPr>
          <w:rFonts w:asciiTheme="minorHAnsi" w:hAnsiTheme="minorHAnsi" w:cstheme="minorHAnsi"/>
          <w:color w:val="auto"/>
        </w:rPr>
        <w:t>’</w:t>
      </w:r>
      <w:r w:rsidRPr="00742C51">
        <w:rPr>
          <w:rFonts w:asciiTheme="minorHAnsi" w:hAnsiTheme="minorHAnsi" w:cstheme="minorHAnsi"/>
          <w:color w:val="auto"/>
        </w:rPr>
        <w:t xml:space="preserve">, </w:t>
      </w:r>
      <w:r w:rsidRPr="00742C51">
        <w:rPr>
          <w:rFonts w:asciiTheme="minorHAnsi" w:hAnsiTheme="minorHAnsi" w:cstheme="minorHAnsi"/>
          <w:i/>
          <w:iCs/>
          <w:color w:val="auto"/>
        </w:rPr>
        <w:t>MLR</w:t>
      </w:r>
      <w:r w:rsidRPr="00742C51">
        <w:rPr>
          <w:rFonts w:asciiTheme="minorHAnsi" w:hAnsiTheme="minorHAnsi" w:cstheme="minorHAnsi"/>
          <w:color w:val="auto"/>
        </w:rPr>
        <w:t xml:space="preserve">, 85 (1990), 1-11. </w:t>
      </w:r>
    </w:p>
    <w:p w:rsidR="00EE2EA4" w:rsidRPr="00742C51" w:rsidRDefault="00EE2EA4" w:rsidP="00C171BA">
      <w:pPr>
        <w:pStyle w:val="Default"/>
        <w:numPr>
          <w:ilvl w:val="0"/>
          <w:numId w:val="17"/>
        </w:numPr>
        <w:spacing w:after="120"/>
        <w:ind w:left="357" w:hanging="357"/>
        <w:rPr>
          <w:rFonts w:asciiTheme="minorHAnsi" w:hAnsiTheme="minorHAnsi" w:cstheme="minorHAnsi"/>
          <w:color w:val="auto"/>
          <w:lang w:val="fr-FR"/>
        </w:rPr>
      </w:pPr>
      <w:r w:rsidRPr="00742C51">
        <w:rPr>
          <w:rFonts w:asciiTheme="minorHAnsi" w:hAnsiTheme="minorHAnsi" w:cstheme="minorHAnsi"/>
          <w:color w:val="auto"/>
          <w:lang w:val="fr-FR"/>
        </w:rPr>
        <w:t xml:space="preserve">Robert F. Cook, </w:t>
      </w:r>
      <w:r w:rsidR="00A71858" w:rsidRPr="00742C51">
        <w:rPr>
          <w:rFonts w:asciiTheme="minorHAnsi" w:hAnsiTheme="minorHAnsi" w:cstheme="minorHAnsi"/>
          <w:color w:val="auto"/>
          <w:lang w:val="fr-FR"/>
        </w:rPr>
        <w:t>‘</w:t>
      </w:r>
      <w:r w:rsidRPr="00742C51">
        <w:rPr>
          <w:rFonts w:asciiTheme="minorHAnsi" w:hAnsiTheme="minorHAnsi" w:cstheme="minorHAnsi"/>
          <w:color w:val="auto"/>
          <w:lang w:val="fr-FR"/>
        </w:rPr>
        <w:t>Baudouin de Sebourc: un poème édifiant?</w:t>
      </w:r>
      <w:r w:rsidR="00A71858" w:rsidRPr="00742C51">
        <w:rPr>
          <w:rFonts w:asciiTheme="minorHAnsi" w:hAnsiTheme="minorHAnsi" w:cstheme="minorHAnsi"/>
          <w:color w:val="auto"/>
          <w:lang w:val="fr-FR"/>
        </w:rPr>
        <w:t>’</w:t>
      </w:r>
      <w:r w:rsidRPr="00742C51">
        <w:rPr>
          <w:rFonts w:asciiTheme="minorHAnsi" w:hAnsiTheme="minorHAnsi" w:cstheme="minorHAnsi"/>
          <w:color w:val="auto"/>
          <w:lang w:val="fr-FR"/>
        </w:rPr>
        <w:t xml:space="preserve">, </w:t>
      </w:r>
      <w:r w:rsidRPr="00742C51">
        <w:rPr>
          <w:rFonts w:asciiTheme="minorHAnsi" w:hAnsiTheme="minorHAnsi" w:cstheme="minorHAnsi"/>
          <w:i/>
          <w:iCs/>
          <w:color w:val="auto"/>
          <w:lang w:val="fr-FR"/>
        </w:rPr>
        <w:t xml:space="preserve">Olifant, </w:t>
      </w:r>
      <w:r w:rsidRPr="00742C51">
        <w:rPr>
          <w:rFonts w:asciiTheme="minorHAnsi" w:hAnsiTheme="minorHAnsi" w:cstheme="minorHAnsi"/>
          <w:color w:val="auto"/>
          <w:lang w:val="fr-FR"/>
        </w:rPr>
        <w:t xml:space="preserve">14 (1989), 115–35 (pp. 118–19). </w:t>
      </w:r>
    </w:p>
    <w:p w:rsidR="003A3176" w:rsidRDefault="003A3176" w:rsidP="00C171BA">
      <w:pPr>
        <w:pStyle w:val="Default"/>
        <w:spacing w:after="120"/>
        <w:rPr>
          <w:rFonts w:asciiTheme="minorHAnsi" w:hAnsiTheme="minorHAnsi" w:cstheme="minorHAnsi"/>
          <w:b/>
          <w:bCs/>
          <w:color w:val="auto"/>
        </w:rPr>
      </w:pPr>
    </w:p>
    <w:p w:rsidR="00EE2EA4" w:rsidRPr="00742C51" w:rsidRDefault="00EE2EA4" w:rsidP="00C171BA">
      <w:pPr>
        <w:pStyle w:val="Default"/>
        <w:spacing w:after="120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b/>
          <w:bCs/>
          <w:color w:val="auto"/>
        </w:rPr>
        <w:lastRenderedPageBreak/>
        <w:t xml:space="preserve">ONLINE PUBLICATIONS </w:t>
      </w:r>
    </w:p>
    <w:p w:rsidR="00EE2EA4" w:rsidRPr="00742C51" w:rsidRDefault="00EE2EA4" w:rsidP="00C171BA">
      <w:pPr>
        <w:pStyle w:val="Default"/>
        <w:spacing w:after="120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 xml:space="preserve">Please make sure you give the </w:t>
      </w:r>
      <w:r w:rsidRPr="00742C51">
        <w:rPr>
          <w:rFonts w:asciiTheme="minorHAnsi" w:hAnsiTheme="minorHAnsi" w:cstheme="minorHAnsi"/>
          <w:i/>
          <w:iCs/>
          <w:color w:val="auto"/>
        </w:rPr>
        <w:t xml:space="preserve">full </w:t>
      </w:r>
      <w:r w:rsidRPr="00742C51">
        <w:rPr>
          <w:rFonts w:asciiTheme="minorHAnsi" w:hAnsiTheme="minorHAnsi" w:cstheme="minorHAnsi"/>
          <w:color w:val="auto"/>
        </w:rPr>
        <w:t>re</w:t>
      </w:r>
      <w:r w:rsidR="00B64FB8" w:rsidRPr="00742C51">
        <w:rPr>
          <w:rFonts w:asciiTheme="minorHAnsi" w:hAnsiTheme="minorHAnsi" w:cstheme="minorHAnsi"/>
          <w:color w:val="auto"/>
        </w:rPr>
        <w:t>ference, plus the date accessed,</w:t>
      </w:r>
      <w:r w:rsidRPr="00742C51">
        <w:rPr>
          <w:rFonts w:asciiTheme="minorHAnsi" w:hAnsiTheme="minorHAnsi" w:cstheme="minorHAnsi"/>
          <w:color w:val="auto"/>
        </w:rPr>
        <w:t xml:space="preserve"> as in the following examples: </w:t>
      </w:r>
    </w:p>
    <w:p w:rsidR="00EE2EA4" w:rsidRPr="00742C51" w:rsidRDefault="00EE2EA4" w:rsidP="00C171BA">
      <w:pPr>
        <w:pStyle w:val="Default"/>
        <w:numPr>
          <w:ilvl w:val="0"/>
          <w:numId w:val="18"/>
        </w:numPr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 xml:space="preserve">Els Jongeneel, </w:t>
      </w:r>
      <w:r w:rsidR="00A71858" w:rsidRPr="00742C51">
        <w:rPr>
          <w:rFonts w:asciiTheme="minorHAnsi" w:hAnsiTheme="minorHAnsi" w:cstheme="minorHAnsi"/>
          <w:color w:val="auto"/>
        </w:rPr>
        <w:t>‘</w:t>
      </w:r>
      <w:r w:rsidRPr="00742C51">
        <w:rPr>
          <w:rFonts w:asciiTheme="minorHAnsi" w:hAnsiTheme="minorHAnsi" w:cstheme="minorHAnsi"/>
          <w:color w:val="auto"/>
        </w:rPr>
        <w:t>Art and Divine Order in the Divina Commedia</w:t>
      </w:r>
      <w:r w:rsidR="00A71858" w:rsidRPr="00742C51">
        <w:rPr>
          <w:rFonts w:asciiTheme="minorHAnsi" w:hAnsiTheme="minorHAnsi" w:cstheme="minorHAnsi"/>
          <w:color w:val="auto"/>
        </w:rPr>
        <w:t>’</w:t>
      </w:r>
      <w:r w:rsidRPr="00742C51">
        <w:rPr>
          <w:rFonts w:asciiTheme="minorHAnsi" w:hAnsiTheme="minorHAnsi" w:cstheme="minorHAnsi"/>
          <w:color w:val="auto"/>
        </w:rPr>
        <w:t xml:space="preserve">, </w:t>
      </w:r>
      <w:r w:rsidRPr="00742C51">
        <w:rPr>
          <w:rFonts w:asciiTheme="minorHAnsi" w:hAnsiTheme="minorHAnsi" w:cstheme="minorHAnsi"/>
          <w:i/>
          <w:iCs/>
          <w:color w:val="auto"/>
        </w:rPr>
        <w:t>Literature and Theology</w:t>
      </w:r>
      <w:r w:rsidRPr="00742C51">
        <w:rPr>
          <w:rFonts w:asciiTheme="minorHAnsi" w:hAnsiTheme="minorHAnsi" w:cstheme="minorHAnsi"/>
          <w:color w:val="auto"/>
        </w:rPr>
        <w:t xml:space="preserve">, 21 (2007), 131–45 &lt;http://dx.doi.org/10.1093/ litthe/frm008&gt; </w:t>
      </w:r>
    </w:p>
    <w:p w:rsidR="00EE2EA4" w:rsidRPr="00742C51" w:rsidRDefault="00EE2EA4" w:rsidP="00C171BA">
      <w:pPr>
        <w:pStyle w:val="Default"/>
        <w:numPr>
          <w:ilvl w:val="0"/>
          <w:numId w:val="18"/>
        </w:numPr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 xml:space="preserve">Steve Sohmer, </w:t>
      </w:r>
      <w:r w:rsidR="00A71858" w:rsidRPr="00742C51">
        <w:rPr>
          <w:rFonts w:asciiTheme="minorHAnsi" w:hAnsiTheme="minorHAnsi" w:cstheme="minorHAnsi"/>
          <w:color w:val="auto"/>
        </w:rPr>
        <w:t>‘</w:t>
      </w:r>
      <w:r w:rsidRPr="00742C51">
        <w:rPr>
          <w:rFonts w:asciiTheme="minorHAnsi" w:hAnsiTheme="minorHAnsi" w:cstheme="minorHAnsi"/>
          <w:color w:val="auto"/>
        </w:rPr>
        <w:t>The Lunar Calendar of Shakespeare</w:t>
      </w:r>
      <w:r w:rsidR="00A71858" w:rsidRPr="00742C51">
        <w:rPr>
          <w:rFonts w:asciiTheme="minorHAnsi" w:hAnsiTheme="minorHAnsi" w:cstheme="minorHAnsi"/>
          <w:color w:val="auto"/>
        </w:rPr>
        <w:t>’</w:t>
      </w:r>
      <w:r w:rsidRPr="00742C51">
        <w:rPr>
          <w:rFonts w:asciiTheme="minorHAnsi" w:hAnsiTheme="minorHAnsi" w:cstheme="minorHAnsi"/>
          <w:color w:val="auto"/>
        </w:rPr>
        <w:t>s King Lear</w:t>
      </w:r>
      <w:r w:rsidR="00A71858" w:rsidRPr="00742C51">
        <w:rPr>
          <w:rFonts w:asciiTheme="minorHAnsi" w:hAnsiTheme="minorHAnsi" w:cstheme="minorHAnsi"/>
          <w:color w:val="auto"/>
        </w:rPr>
        <w:t>’</w:t>
      </w:r>
      <w:r w:rsidRPr="00742C51">
        <w:rPr>
          <w:rFonts w:asciiTheme="minorHAnsi" w:hAnsiTheme="minorHAnsi" w:cstheme="minorHAnsi"/>
          <w:color w:val="auto"/>
        </w:rPr>
        <w:t xml:space="preserve">, </w:t>
      </w:r>
      <w:r w:rsidRPr="00742C51">
        <w:rPr>
          <w:rFonts w:asciiTheme="minorHAnsi" w:hAnsiTheme="minorHAnsi" w:cstheme="minorHAnsi"/>
          <w:i/>
          <w:iCs/>
          <w:color w:val="auto"/>
        </w:rPr>
        <w:t>Early Modern Literary Studies</w:t>
      </w:r>
      <w:r w:rsidRPr="00742C51">
        <w:rPr>
          <w:rFonts w:asciiTheme="minorHAnsi" w:hAnsiTheme="minorHAnsi" w:cstheme="minorHAnsi"/>
          <w:color w:val="auto"/>
        </w:rPr>
        <w:t xml:space="preserve">, 5.2 (1999) &lt;http://purl.oclc.org/ emls/05-2/sohmlear.htm&gt; [accessed 28 January 2000] (para. 3 of 24). </w:t>
      </w:r>
    </w:p>
    <w:p w:rsidR="00EE2EA4" w:rsidRPr="00742C51" w:rsidRDefault="00EE2EA4" w:rsidP="00C171BA">
      <w:pPr>
        <w:pStyle w:val="Default"/>
        <w:numPr>
          <w:ilvl w:val="0"/>
          <w:numId w:val="18"/>
        </w:numPr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 xml:space="preserve">Kent Bach, </w:t>
      </w:r>
      <w:r w:rsidR="00A71858" w:rsidRPr="00742C51">
        <w:rPr>
          <w:rFonts w:asciiTheme="minorHAnsi" w:hAnsiTheme="minorHAnsi" w:cstheme="minorHAnsi"/>
          <w:color w:val="auto"/>
        </w:rPr>
        <w:t>‘</w:t>
      </w:r>
      <w:r w:rsidRPr="00742C51">
        <w:rPr>
          <w:rFonts w:asciiTheme="minorHAnsi" w:hAnsiTheme="minorHAnsi" w:cstheme="minorHAnsi"/>
          <w:color w:val="auto"/>
        </w:rPr>
        <w:t>Performatives</w:t>
      </w:r>
      <w:r w:rsidR="00A71858" w:rsidRPr="00742C51">
        <w:rPr>
          <w:rFonts w:asciiTheme="minorHAnsi" w:hAnsiTheme="minorHAnsi" w:cstheme="minorHAnsi"/>
          <w:color w:val="auto"/>
        </w:rPr>
        <w:t>’</w:t>
      </w:r>
      <w:r w:rsidRPr="00742C51">
        <w:rPr>
          <w:rFonts w:asciiTheme="minorHAnsi" w:hAnsiTheme="minorHAnsi" w:cstheme="minorHAnsi"/>
          <w:color w:val="auto"/>
        </w:rPr>
        <w:t xml:space="preserve">, in </w:t>
      </w:r>
      <w:r w:rsidRPr="00742C51">
        <w:rPr>
          <w:rFonts w:asciiTheme="minorHAnsi" w:hAnsiTheme="minorHAnsi" w:cstheme="minorHAnsi"/>
          <w:i/>
          <w:iCs/>
          <w:color w:val="auto"/>
        </w:rPr>
        <w:t xml:space="preserve">Routledge Encyclopedia of Philosophy </w:t>
      </w:r>
      <w:r w:rsidRPr="00742C51">
        <w:rPr>
          <w:rFonts w:asciiTheme="minorHAnsi" w:hAnsiTheme="minorHAnsi" w:cstheme="minorHAnsi"/>
          <w:color w:val="auto"/>
        </w:rPr>
        <w:t xml:space="preserve">&lt;http://www.rep.routledge.com&gt; [accessed 3 October 2001]. </w:t>
      </w:r>
    </w:p>
    <w:p w:rsidR="00EE2EA4" w:rsidRPr="00742C51" w:rsidRDefault="00EE2EA4" w:rsidP="00B64FB8">
      <w:pPr>
        <w:pStyle w:val="Default"/>
        <w:spacing w:after="120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b/>
          <w:bCs/>
          <w:color w:val="auto"/>
        </w:rPr>
        <w:t xml:space="preserve">FILMS </w:t>
      </w:r>
    </w:p>
    <w:p w:rsidR="00EE6ADE" w:rsidRPr="00EE6ADE" w:rsidRDefault="00EE6ADE" w:rsidP="00EE6ADE">
      <w:pPr>
        <w:pStyle w:val="Default"/>
        <w:spacing w:after="120"/>
        <w:rPr>
          <w:rFonts w:asciiTheme="minorHAnsi" w:hAnsiTheme="minorHAnsi" w:cstheme="minorHAnsi"/>
          <w:color w:val="auto"/>
        </w:rPr>
      </w:pPr>
      <w:r w:rsidRPr="00EE6ADE">
        <w:rPr>
          <w:rFonts w:asciiTheme="minorHAnsi" w:hAnsiTheme="minorHAnsi" w:cstheme="minorHAnsi"/>
          <w:color w:val="auto"/>
        </w:rPr>
        <w:t xml:space="preserve">For films, the reference should include, as a minimum, title, director,  distributor, date, e.g.: </w:t>
      </w:r>
    </w:p>
    <w:p w:rsidR="00EE2EA4" w:rsidRPr="00742C51" w:rsidRDefault="00EE6ADE" w:rsidP="00EE6ADE">
      <w:pPr>
        <w:pStyle w:val="Default"/>
        <w:spacing w:after="120"/>
        <w:rPr>
          <w:rFonts w:asciiTheme="minorHAnsi" w:hAnsiTheme="minorHAnsi" w:cstheme="minorHAnsi"/>
          <w:color w:val="auto"/>
          <w:lang w:val="fr-FR"/>
        </w:rPr>
      </w:pPr>
      <w:r w:rsidRPr="003F0479">
        <w:rPr>
          <w:rFonts w:asciiTheme="minorHAnsi" w:hAnsiTheme="minorHAnsi" w:cstheme="minorHAnsi"/>
          <w:i/>
          <w:color w:val="auto"/>
        </w:rPr>
        <w:t>The Grapes of Wrath</w:t>
      </w:r>
      <w:r w:rsidRPr="00EE6ADE">
        <w:rPr>
          <w:rFonts w:asciiTheme="minorHAnsi" w:hAnsiTheme="minorHAnsi" w:cstheme="minorHAnsi"/>
          <w:color w:val="auto"/>
        </w:rPr>
        <w:t>, dir. by John Ford (20th Century Fox, 1940)</w:t>
      </w:r>
      <w:r w:rsidR="00EE2EA4" w:rsidRPr="00742C51">
        <w:rPr>
          <w:rFonts w:asciiTheme="minorHAnsi" w:hAnsiTheme="minorHAnsi" w:cstheme="minorHAnsi"/>
          <w:color w:val="auto"/>
          <w:lang w:val="fr-FR"/>
        </w:rPr>
        <w:t xml:space="preserve"> </w:t>
      </w:r>
    </w:p>
    <w:p w:rsidR="00EE2EA4" w:rsidRPr="00742C51" w:rsidRDefault="00EE2EA4" w:rsidP="00B64FB8">
      <w:pPr>
        <w:pStyle w:val="Default"/>
        <w:spacing w:after="120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b/>
          <w:bCs/>
          <w:color w:val="auto"/>
        </w:rPr>
        <w:t xml:space="preserve">LATER REFERENCES </w:t>
      </w:r>
    </w:p>
    <w:p w:rsidR="00EE2EA4" w:rsidRPr="00742C51" w:rsidRDefault="00EE2EA4" w:rsidP="00B64FB8">
      <w:pPr>
        <w:pStyle w:val="Default"/>
        <w:numPr>
          <w:ilvl w:val="0"/>
          <w:numId w:val="12"/>
        </w:numPr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>In all references to a book or article after the first, the shortest intelligible form should be used. This will normally be the author</w:t>
      </w:r>
      <w:r w:rsidR="00A71858" w:rsidRPr="00742C51">
        <w:rPr>
          <w:rFonts w:asciiTheme="minorHAnsi" w:hAnsiTheme="minorHAnsi" w:cstheme="minorHAnsi"/>
          <w:color w:val="auto"/>
        </w:rPr>
        <w:t>’</w:t>
      </w:r>
      <w:r w:rsidRPr="00742C51">
        <w:rPr>
          <w:rFonts w:asciiTheme="minorHAnsi" w:hAnsiTheme="minorHAnsi" w:cstheme="minorHAnsi"/>
          <w:color w:val="auto"/>
        </w:rPr>
        <w:t>s name, or a short-title reference if appropriate, followed by the volume (if applicable) and page reference</w:t>
      </w:r>
      <w:r w:rsidR="00B64FB8" w:rsidRPr="00742C51">
        <w:rPr>
          <w:rFonts w:asciiTheme="minorHAnsi" w:hAnsiTheme="minorHAnsi" w:cstheme="minorHAnsi"/>
          <w:color w:val="auto"/>
        </w:rPr>
        <w:t xml:space="preserve">, e.g. </w:t>
      </w:r>
      <w:r w:rsidRPr="00742C51">
        <w:rPr>
          <w:rFonts w:asciiTheme="minorHAnsi" w:hAnsiTheme="minorHAnsi" w:cstheme="minorHAnsi"/>
          <w:color w:val="auto"/>
        </w:rPr>
        <w:t xml:space="preserve">McArthur, p. 62; Elsky, pp. 42–46 (p. 43); </w:t>
      </w:r>
      <w:r w:rsidRPr="00742C51">
        <w:rPr>
          <w:rFonts w:asciiTheme="minorHAnsi" w:hAnsiTheme="minorHAnsi" w:cstheme="minorHAnsi"/>
          <w:i/>
          <w:iCs/>
          <w:color w:val="auto"/>
        </w:rPr>
        <w:t>Dictionary of the Middle Ages</w:t>
      </w:r>
      <w:r w:rsidRPr="00742C51">
        <w:rPr>
          <w:rFonts w:asciiTheme="minorHAnsi" w:hAnsiTheme="minorHAnsi" w:cstheme="minorHAnsi"/>
          <w:color w:val="auto"/>
        </w:rPr>
        <w:t xml:space="preserve">, vi (1985), 26. </w:t>
      </w:r>
    </w:p>
    <w:p w:rsidR="00EE2EA4" w:rsidRPr="00742C51" w:rsidRDefault="00EE2EA4" w:rsidP="00B64FB8">
      <w:pPr>
        <w:pStyle w:val="Default"/>
        <w:numPr>
          <w:ilvl w:val="0"/>
          <w:numId w:val="12"/>
        </w:numPr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 xml:space="preserve">It may be necessary - for example when more than one work by an author has been cited - to repeat a title, in a shortened form: McArthur, </w:t>
      </w:r>
      <w:r w:rsidRPr="00742C51">
        <w:rPr>
          <w:rFonts w:asciiTheme="minorHAnsi" w:hAnsiTheme="minorHAnsi" w:cstheme="minorHAnsi"/>
          <w:i/>
          <w:iCs/>
          <w:color w:val="auto"/>
        </w:rPr>
        <w:t>Worlds of Reference</w:t>
      </w:r>
      <w:r w:rsidRPr="00742C51">
        <w:rPr>
          <w:rFonts w:asciiTheme="minorHAnsi" w:hAnsiTheme="minorHAnsi" w:cstheme="minorHAnsi"/>
          <w:color w:val="auto"/>
        </w:rPr>
        <w:t xml:space="preserve">, p. 9. </w:t>
      </w:r>
    </w:p>
    <w:p w:rsidR="00EE2EA4" w:rsidRPr="00742C51" w:rsidRDefault="00EE2EA4" w:rsidP="00B64FB8">
      <w:pPr>
        <w:pStyle w:val="Default"/>
        <w:numPr>
          <w:ilvl w:val="0"/>
          <w:numId w:val="12"/>
        </w:numPr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>Within the body of an essay, once a particular work has been referenced with a foot/end-note number, it is enough to write (McArthur, p. 33) following any subsequent points drawing on that specific author</w:t>
      </w:r>
      <w:r w:rsidR="00A71858" w:rsidRPr="00742C51">
        <w:rPr>
          <w:rFonts w:asciiTheme="minorHAnsi" w:hAnsiTheme="minorHAnsi" w:cstheme="minorHAnsi"/>
          <w:color w:val="auto"/>
        </w:rPr>
        <w:t>’</w:t>
      </w:r>
      <w:r w:rsidRPr="00742C51">
        <w:rPr>
          <w:rFonts w:asciiTheme="minorHAnsi" w:hAnsiTheme="minorHAnsi" w:cstheme="minorHAnsi"/>
          <w:color w:val="auto"/>
        </w:rPr>
        <w:t xml:space="preserve">s thought. </w:t>
      </w:r>
    </w:p>
    <w:p w:rsidR="00B64FB8" w:rsidRPr="00742C51" w:rsidRDefault="00B64FB8" w:rsidP="00B64FB8">
      <w:pPr>
        <w:pStyle w:val="Default"/>
        <w:spacing w:after="120"/>
        <w:rPr>
          <w:rFonts w:asciiTheme="minorHAnsi" w:hAnsiTheme="minorHAnsi" w:cstheme="minorHAnsi"/>
          <w:b/>
          <w:bCs/>
          <w:color w:val="auto"/>
        </w:rPr>
      </w:pPr>
    </w:p>
    <w:p w:rsidR="00EE2EA4" w:rsidRPr="00742C51" w:rsidRDefault="00EE2EA4" w:rsidP="00B64FB8">
      <w:pPr>
        <w:pStyle w:val="Default"/>
        <w:spacing w:after="120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b/>
          <w:bCs/>
          <w:color w:val="auto"/>
        </w:rPr>
        <w:t xml:space="preserve">BIBLIOGRAPHY </w:t>
      </w:r>
    </w:p>
    <w:p w:rsidR="00EE2EA4" w:rsidRPr="00742C51" w:rsidRDefault="00EE2EA4" w:rsidP="00B64FB8">
      <w:pPr>
        <w:pStyle w:val="Default"/>
        <w:spacing w:after="120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 xml:space="preserve">A bibliography must be added at the end of every essay, even if the only work consulted is the primary text. </w:t>
      </w:r>
    </w:p>
    <w:p w:rsidR="00EE2EA4" w:rsidRPr="00742C51" w:rsidRDefault="00D5569D" w:rsidP="00B64FB8">
      <w:pPr>
        <w:pStyle w:val="Default"/>
        <w:spacing w:after="120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 xml:space="preserve">The </w:t>
      </w:r>
      <w:r w:rsidR="00EE2EA4" w:rsidRPr="00742C51">
        <w:rPr>
          <w:rFonts w:asciiTheme="minorHAnsi" w:hAnsiTheme="minorHAnsi" w:cstheme="minorHAnsi"/>
          <w:color w:val="auto"/>
        </w:rPr>
        <w:t>bibliography</w:t>
      </w:r>
      <w:r w:rsidRPr="00742C51">
        <w:rPr>
          <w:rFonts w:asciiTheme="minorHAnsi" w:hAnsiTheme="minorHAnsi" w:cstheme="minorHAnsi"/>
          <w:color w:val="auto"/>
        </w:rPr>
        <w:t xml:space="preserve"> should be in alphabetical order</w:t>
      </w:r>
      <w:r w:rsidR="00EE2EA4" w:rsidRPr="00742C51">
        <w:rPr>
          <w:rFonts w:asciiTheme="minorHAnsi" w:hAnsiTheme="minorHAnsi" w:cstheme="minorHAnsi"/>
          <w:color w:val="auto"/>
        </w:rPr>
        <w:t xml:space="preserve">. The surname of the author or editor will precede the forename(s) or initial(s). Note that no full stop is necessary at the end of bibliographical entries. </w:t>
      </w:r>
    </w:p>
    <w:p w:rsidR="00EE2EA4" w:rsidRPr="00742C51" w:rsidRDefault="00EE2EA4" w:rsidP="00B64FB8">
      <w:pPr>
        <w:pStyle w:val="Default"/>
        <w:numPr>
          <w:ilvl w:val="0"/>
          <w:numId w:val="13"/>
        </w:numPr>
        <w:spacing w:after="120"/>
        <w:ind w:left="357" w:hanging="357"/>
        <w:rPr>
          <w:rFonts w:asciiTheme="minorHAnsi" w:hAnsiTheme="minorHAnsi" w:cstheme="minorHAnsi"/>
          <w:color w:val="auto"/>
          <w:lang w:val="fr-FR"/>
        </w:rPr>
      </w:pPr>
      <w:r w:rsidRPr="00742C51">
        <w:rPr>
          <w:rFonts w:asciiTheme="minorHAnsi" w:hAnsiTheme="minorHAnsi" w:cstheme="minorHAnsi"/>
          <w:color w:val="auto"/>
          <w:lang w:val="fr-FR"/>
        </w:rPr>
        <w:t xml:space="preserve">Cook, Robert F., </w:t>
      </w:r>
      <w:r w:rsidR="00A71858" w:rsidRPr="00742C51">
        <w:rPr>
          <w:rFonts w:asciiTheme="minorHAnsi" w:hAnsiTheme="minorHAnsi" w:cstheme="minorHAnsi"/>
          <w:color w:val="auto"/>
          <w:lang w:val="fr-FR"/>
        </w:rPr>
        <w:t>‘</w:t>
      </w:r>
      <w:r w:rsidRPr="00742C51">
        <w:rPr>
          <w:rFonts w:asciiTheme="minorHAnsi" w:hAnsiTheme="minorHAnsi" w:cstheme="minorHAnsi"/>
          <w:color w:val="auto"/>
          <w:lang w:val="fr-FR"/>
        </w:rPr>
        <w:t>Baudouin de Sebourc: un poème édifiant?</w:t>
      </w:r>
      <w:r w:rsidR="00A71858" w:rsidRPr="00742C51">
        <w:rPr>
          <w:rFonts w:asciiTheme="minorHAnsi" w:hAnsiTheme="minorHAnsi" w:cstheme="minorHAnsi"/>
          <w:color w:val="auto"/>
          <w:lang w:val="fr-FR"/>
        </w:rPr>
        <w:t>’</w:t>
      </w:r>
      <w:r w:rsidRPr="00742C51">
        <w:rPr>
          <w:rFonts w:asciiTheme="minorHAnsi" w:hAnsiTheme="minorHAnsi" w:cstheme="minorHAnsi"/>
          <w:color w:val="auto"/>
          <w:lang w:val="fr-FR"/>
        </w:rPr>
        <w:t xml:space="preserve">, </w:t>
      </w:r>
      <w:r w:rsidRPr="00742C51">
        <w:rPr>
          <w:rFonts w:asciiTheme="minorHAnsi" w:hAnsiTheme="minorHAnsi" w:cstheme="minorHAnsi"/>
          <w:i/>
          <w:iCs/>
          <w:color w:val="auto"/>
          <w:lang w:val="fr-FR"/>
        </w:rPr>
        <w:t xml:space="preserve">Olifant, </w:t>
      </w:r>
      <w:r w:rsidRPr="00742C51">
        <w:rPr>
          <w:rFonts w:asciiTheme="minorHAnsi" w:hAnsiTheme="minorHAnsi" w:cstheme="minorHAnsi"/>
          <w:color w:val="auto"/>
          <w:lang w:val="fr-FR"/>
        </w:rPr>
        <w:t xml:space="preserve">14 (1989), 115–35 </w:t>
      </w:r>
    </w:p>
    <w:p w:rsidR="00EE2EA4" w:rsidRPr="00742C51" w:rsidRDefault="00EE2EA4" w:rsidP="00B64FB8">
      <w:pPr>
        <w:pStyle w:val="Default"/>
        <w:numPr>
          <w:ilvl w:val="0"/>
          <w:numId w:val="13"/>
        </w:numPr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 xml:space="preserve">Fuentes, Carlos, </w:t>
      </w:r>
      <w:r w:rsidRPr="00742C51">
        <w:rPr>
          <w:rFonts w:asciiTheme="minorHAnsi" w:hAnsiTheme="minorHAnsi" w:cstheme="minorHAnsi"/>
          <w:i/>
          <w:iCs/>
          <w:color w:val="auto"/>
        </w:rPr>
        <w:t>Aura</w:t>
      </w:r>
      <w:r w:rsidRPr="00742C51">
        <w:rPr>
          <w:rFonts w:asciiTheme="minorHAnsi" w:hAnsiTheme="minorHAnsi" w:cstheme="minorHAnsi"/>
          <w:color w:val="auto"/>
        </w:rPr>
        <w:t xml:space="preserve">, ed. by Peter Standish, </w:t>
      </w:r>
      <w:r w:rsidRPr="00742C51">
        <w:rPr>
          <w:rFonts w:asciiTheme="minorHAnsi" w:hAnsiTheme="minorHAnsi" w:cstheme="minorHAnsi"/>
          <w:i/>
          <w:iCs/>
          <w:color w:val="auto"/>
        </w:rPr>
        <w:t xml:space="preserve">Durham Modern Language Series: Hispanic Texts, </w:t>
      </w:r>
      <w:r w:rsidRPr="00742C51">
        <w:rPr>
          <w:rFonts w:asciiTheme="minorHAnsi" w:hAnsiTheme="minorHAnsi" w:cstheme="minorHAnsi"/>
          <w:color w:val="auto"/>
        </w:rPr>
        <w:t xml:space="preserve">1 (Durham: University of Durham, 1986) </w:t>
      </w:r>
    </w:p>
    <w:p w:rsidR="00EE2EA4" w:rsidRPr="00742C51" w:rsidRDefault="00EE2EA4" w:rsidP="00B64FB8">
      <w:pPr>
        <w:pStyle w:val="Default"/>
        <w:numPr>
          <w:ilvl w:val="0"/>
          <w:numId w:val="13"/>
        </w:numPr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 xml:space="preserve">Johnson, Thomas H., ed., </w:t>
      </w:r>
      <w:r w:rsidRPr="00742C51">
        <w:rPr>
          <w:rFonts w:asciiTheme="minorHAnsi" w:hAnsiTheme="minorHAnsi" w:cstheme="minorHAnsi"/>
          <w:i/>
          <w:iCs/>
          <w:color w:val="auto"/>
        </w:rPr>
        <w:t>Emily Dickinson: Selected Letters</w:t>
      </w:r>
      <w:r w:rsidRPr="00742C51">
        <w:rPr>
          <w:rFonts w:asciiTheme="minorHAnsi" w:hAnsiTheme="minorHAnsi" w:cstheme="minorHAnsi"/>
          <w:color w:val="auto"/>
        </w:rPr>
        <w:t xml:space="preserve">, 2nd edn </w:t>
      </w:r>
      <w:bookmarkStart w:id="0" w:name="_GoBack"/>
      <w:bookmarkEnd w:id="0"/>
      <w:r w:rsidRPr="00742C51">
        <w:rPr>
          <w:rFonts w:asciiTheme="minorHAnsi" w:hAnsiTheme="minorHAnsi" w:cstheme="minorHAnsi"/>
          <w:color w:val="auto"/>
        </w:rPr>
        <w:t xml:space="preserve">(Cambridge, MA: Harvard University Press, 1985) </w:t>
      </w:r>
    </w:p>
    <w:p w:rsidR="00EE2EA4" w:rsidRPr="00742C51" w:rsidRDefault="00EE2EA4" w:rsidP="00B64FB8">
      <w:pPr>
        <w:pStyle w:val="Default"/>
        <w:numPr>
          <w:ilvl w:val="0"/>
          <w:numId w:val="13"/>
        </w:numPr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742C51">
        <w:rPr>
          <w:rFonts w:asciiTheme="minorHAnsi" w:hAnsiTheme="minorHAnsi" w:cstheme="minorHAnsi"/>
          <w:color w:val="auto"/>
        </w:rPr>
        <w:t xml:space="preserve">Strayer, Joseph R., and others, eds, </w:t>
      </w:r>
      <w:r w:rsidRPr="00742C51">
        <w:rPr>
          <w:rFonts w:asciiTheme="minorHAnsi" w:hAnsiTheme="minorHAnsi" w:cstheme="minorHAnsi"/>
          <w:i/>
          <w:iCs/>
          <w:color w:val="auto"/>
        </w:rPr>
        <w:t>Dictionary of the Middle Ages</w:t>
      </w:r>
      <w:r w:rsidRPr="00742C51">
        <w:rPr>
          <w:rFonts w:asciiTheme="minorHAnsi" w:hAnsiTheme="minorHAnsi" w:cstheme="minorHAnsi"/>
          <w:color w:val="auto"/>
        </w:rPr>
        <w:t xml:space="preserve">, 13 vols (New York: Scribner, 1982–89), vi (1985) </w:t>
      </w:r>
    </w:p>
    <w:sectPr w:rsidR="00EE2EA4" w:rsidRPr="00742C5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9EF" w:rsidRDefault="001E09EF" w:rsidP="001E09EF">
      <w:pPr>
        <w:spacing w:after="0" w:line="240" w:lineRule="auto"/>
      </w:pPr>
      <w:r>
        <w:separator/>
      </w:r>
    </w:p>
  </w:endnote>
  <w:endnote w:type="continuationSeparator" w:id="0">
    <w:p w:rsidR="001E09EF" w:rsidRDefault="001E09EF" w:rsidP="001E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9EF" w:rsidRDefault="001E09EF" w:rsidP="001E09EF">
      <w:pPr>
        <w:spacing w:after="0" w:line="240" w:lineRule="auto"/>
      </w:pPr>
      <w:r>
        <w:separator/>
      </w:r>
    </w:p>
  </w:footnote>
  <w:footnote w:type="continuationSeparator" w:id="0">
    <w:p w:rsidR="001E09EF" w:rsidRDefault="001E09EF" w:rsidP="001E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8724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42C51" w:rsidRDefault="00742C5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F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09EF" w:rsidRDefault="001E09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EE2"/>
    <w:multiLevelType w:val="hybridMultilevel"/>
    <w:tmpl w:val="859AE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44A3B"/>
    <w:multiLevelType w:val="hybridMultilevel"/>
    <w:tmpl w:val="5AD87924"/>
    <w:lvl w:ilvl="0" w:tplc="CFFA685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56160"/>
    <w:multiLevelType w:val="hybridMultilevel"/>
    <w:tmpl w:val="D110F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C43AB"/>
    <w:multiLevelType w:val="hybridMultilevel"/>
    <w:tmpl w:val="2682A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373BA"/>
    <w:multiLevelType w:val="hybridMultilevel"/>
    <w:tmpl w:val="F914F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47748"/>
    <w:multiLevelType w:val="hybridMultilevel"/>
    <w:tmpl w:val="97AC2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449D4"/>
    <w:multiLevelType w:val="hybridMultilevel"/>
    <w:tmpl w:val="380A2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14F65"/>
    <w:multiLevelType w:val="hybridMultilevel"/>
    <w:tmpl w:val="3788D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43054"/>
    <w:multiLevelType w:val="hybridMultilevel"/>
    <w:tmpl w:val="85B84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03F83"/>
    <w:multiLevelType w:val="hybridMultilevel"/>
    <w:tmpl w:val="79206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F2C08"/>
    <w:multiLevelType w:val="hybridMultilevel"/>
    <w:tmpl w:val="BCC0B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35B86"/>
    <w:multiLevelType w:val="hybridMultilevel"/>
    <w:tmpl w:val="EDE62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479CF"/>
    <w:multiLevelType w:val="hybridMultilevel"/>
    <w:tmpl w:val="B2445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509E7"/>
    <w:multiLevelType w:val="hybridMultilevel"/>
    <w:tmpl w:val="3DDC6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77C32"/>
    <w:multiLevelType w:val="hybridMultilevel"/>
    <w:tmpl w:val="9864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238EB"/>
    <w:multiLevelType w:val="hybridMultilevel"/>
    <w:tmpl w:val="982C3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61DB0"/>
    <w:multiLevelType w:val="hybridMultilevel"/>
    <w:tmpl w:val="353EF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8489F"/>
    <w:multiLevelType w:val="hybridMultilevel"/>
    <w:tmpl w:val="99306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16"/>
  </w:num>
  <w:num w:numId="9">
    <w:abstractNumId w:val="10"/>
  </w:num>
  <w:num w:numId="10">
    <w:abstractNumId w:val="9"/>
  </w:num>
  <w:num w:numId="11">
    <w:abstractNumId w:val="7"/>
  </w:num>
  <w:num w:numId="12">
    <w:abstractNumId w:val="4"/>
  </w:num>
  <w:num w:numId="13">
    <w:abstractNumId w:val="2"/>
  </w:num>
  <w:num w:numId="14">
    <w:abstractNumId w:val="15"/>
  </w:num>
  <w:num w:numId="15">
    <w:abstractNumId w:val="0"/>
  </w:num>
  <w:num w:numId="16">
    <w:abstractNumId w:val="8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42"/>
    <w:rsid w:val="000B69D3"/>
    <w:rsid w:val="001E09EF"/>
    <w:rsid w:val="00326F00"/>
    <w:rsid w:val="003A3176"/>
    <w:rsid w:val="003F0479"/>
    <w:rsid w:val="004A01CE"/>
    <w:rsid w:val="004E6243"/>
    <w:rsid w:val="005A3ED4"/>
    <w:rsid w:val="00682EC5"/>
    <w:rsid w:val="00742C51"/>
    <w:rsid w:val="00745399"/>
    <w:rsid w:val="009E3066"/>
    <w:rsid w:val="00A71858"/>
    <w:rsid w:val="00B56C7B"/>
    <w:rsid w:val="00B64FB8"/>
    <w:rsid w:val="00C171BA"/>
    <w:rsid w:val="00CF0742"/>
    <w:rsid w:val="00D1239D"/>
    <w:rsid w:val="00D25A20"/>
    <w:rsid w:val="00D5569D"/>
    <w:rsid w:val="00E85B95"/>
    <w:rsid w:val="00EE2EA4"/>
    <w:rsid w:val="00EE6ADE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8C493FC-6F36-48B1-AACD-9DC5BF08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EA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EA4"/>
    <w:rPr>
      <w:color w:val="0563C1" w:themeColor="hyperlink"/>
      <w:u w:val="single"/>
    </w:rPr>
  </w:style>
  <w:style w:type="paragraph" w:customStyle="1" w:styleId="Default">
    <w:name w:val="Default"/>
    <w:rsid w:val="00EE2EA4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A7185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9E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0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9E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hra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SINCLAIR Fionnuala</dc:creator>
  <cp:keywords/>
  <dc:description/>
  <cp:lastModifiedBy>PATERSON Gillian</cp:lastModifiedBy>
  <cp:revision>2</cp:revision>
  <dcterms:created xsi:type="dcterms:W3CDTF">2017-12-14T15:52:00Z</dcterms:created>
  <dcterms:modified xsi:type="dcterms:W3CDTF">2017-12-14T15:52:00Z</dcterms:modified>
</cp:coreProperties>
</file>